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3E82B" w14:textId="77777777" w:rsidR="003F76E8" w:rsidRPr="003F76E8" w:rsidRDefault="003F76E8" w:rsidP="003F76E8">
      <w:pPr>
        <w:shd w:val="clear" w:color="auto" w:fill="FFFFFF"/>
        <w:spacing w:after="0" w:line="312" w:lineRule="atLeast"/>
        <w:textAlignment w:val="baseline"/>
        <w:outlineLvl w:val="2"/>
        <w:rPr>
          <w:rFonts w:ascii="Calibri" w:eastAsia="Times New Roman" w:hAnsi="Calibri" w:cs="Calibri"/>
          <w:b/>
          <w:bCs/>
          <w:color w:val="000000" w:themeColor="text1"/>
          <w:kern w:val="0"/>
          <w:sz w:val="28"/>
          <w:szCs w:val="28"/>
          <w:u w:val="single"/>
          <w:lang w:eastAsia="nl-NL"/>
          <w14:ligatures w14:val="none"/>
        </w:rPr>
      </w:pPr>
      <w:r w:rsidRPr="003F76E8">
        <w:rPr>
          <w:rFonts w:ascii="Calibri" w:eastAsia="Times New Roman" w:hAnsi="Calibri" w:cs="Calibri"/>
          <w:b/>
          <w:bCs/>
          <w:color w:val="000000" w:themeColor="text1"/>
          <w:kern w:val="0"/>
          <w:sz w:val="28"/>
          <w:szCs w:val="28"/>
          <w:u w:val="single"/>
          <w:lang w:eastAsia="nl-NL"/>
          <w14:ligatures w14:val="none"/>
        </w:rPr>
        <w:t>Bewegend leren met geld</w:t>
      </w:r>
    </w:p>
    <w:p w14:paraId="5BB08C73" w14:textId="77777777" w:rsidR="00A24225" w:rsidRDefault="00A24225"/>
    <w:p w14:paraId="00BA006E" w14:textId="6A885EDA" w:rsidR="003F76E8" w:rsidRDefault="003F76E8">
      <w:r>
        <w:rPr>
          <w:noProof/>
        </w:rPr>
        <w:drawing>
          <wp:inline distT="0" distB="0" distL="0" distR="0" wp14:anchorId="10D59F5F" wp14:editId="2767C208">
            <wp:extent cx="2916737" cy="2825750"/>
            <wp:effectExtent l="0" t="0" r="0" b="0"/>
            <wp:docPr id="1317480602" name="Afbeelding 1" descr="Buitenles Geld rekenen munten biljetten bewegend leren rekencircuit buitenles groep 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itenles Geld rekenen munten biljetten bewegend leren rekencircuit buitenles groep 3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19186" cy="2828123"/>
                    </a:xfrm>
                    <a:prstGeom prst="rect">
                      <a:avLst/>
                    </a:prstGeom>
                    <a:noFill/>
                    <a:ln>
                      <a:noFill/>
                    </a:ln>
                  </pic:spPr>
                </pic:pic>
              </a:graphicData>
            </a:graphic>
          </wp:inline>
        </w:drawing>
      </w:r>
    </w:p>
    <w:p w14:paraId="65527538" w14:textId="77777777" w:rsidR="003F76E8" w:rsidRDefault="003F76E8"/>
    <w:p w14:paraId="5931426F" w14:textId="10A85D79" w:rsidR="003F76E8" w:rsidRPr="003F76E8" w:rsidRDefault="003F76E8">
      <w:pPr>
        <w:rPr>
          <w:rFonts w:ascii="Calibri" w:hAnsi="Calibri" w:cs="Calibri"/>
          <w:color w:val="000000" w:themeColor="text1"/>
        </w:rPr>
      </w:pPr>
      <w:r w:rsidRPr="003F76E8">
        <w:rPr>
          <w:rFonts w:ascii="Calibri" w:hAnsi="Calibri" w:cs="Calibri"/>
          <w:color w:val="000000" w:themeColor="text1"/>
          <w:bdr w:val="none" w:sz="0" w:space="0" w:color="auto" w:frame="1"/>
          <w:shd w:val="clear" w:color="auto" w:fill="FFFFFF"/>
        </w:rPr>
        <w:t>Leren over geld leent zich uitermate goed voor een bewegend leren les. Kies met je maatje een bedrag. Ren om de beurt naar de geldla om het juiste biljet of muntstuk op te halen. Je mag één munt of biljet per keer meenemen.</w:t>
      </w:r>
      <w:r w:rsidRPr="003F76E8">
        <w:rPr>
          <w:rFonts w:ascii="Calibri" w:hAnsi="Calibri" w:cs="Calibri"/>
          <w:color w:val="000000" w:themeColor="text1"/>
          <w:bdr w:val="none" w:sz="0" w:space="0" w:color="auto" w:frame="1"/>
          <w:shd w:val="clear" w:color="auto" w:fill="FFFFFF"/>
        </w:rPr>
        <w:br/>
      </w:r>
      <w:r w:rsidRPr="003F76E8">
        <w:rPr>
          <w:rFonts w:ascii="Calibri" w:hAnsi="Calibri" w:cs="Calibri"/>
          <w:color w:val="000000" w:themeColor="text1"/>
          <w:bdr w:val="none" w:sz="0" w:space="0" w:color="auto" w:frame="1"/>
          <w:shd w:val="clear" w:color="auto" w:fill="FFFFFF"/>
        </w:rPr>
        <w:br/>
        <w:t>Heb je je bedrag compleet? </w:t>
      </w:r>
      <w:r w:rsidRPr="003F76E8">
        <w:rPr>
          <w:rFonts w:ascii="Calibri" w:hAnsi="Calibri" w:cs="Calibri"/>
          <w:color w:val="000000" w:themeColor="text1"/>
        </w:rPr>
        <w:br/>
      </w:r>
      <w:r w:rsidRPr="003F76E8">
        <w:rPr>
          <w:rFonts w:ascii="Calibri" w:hAnsi="Calibri" w:cs="Calibri"/>
          <w:color w:val="000000" w:themeColor="text1"/>
          <w:bdr w:val="none" w:sz="0" w:space="0" w:color="auto" w:frame="1"/>
          <w:shd w:val="clear" w:color="auto" w:fill="FFFFFF"/>
        </w:rPr>
        <w:t>Tel uit je winst!</w:t>
      </w:r>
    </w:p>
    <w:sectPr w:rsidR="003F76E8" w:rsidRPr="003F76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E8"/>
    <w:rsid w:val="003F76E8"/>
    <w:rsid w:val="00A24225"/>
    <w:rsid w:val="00BA5F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17CDE"/>
  <w15:chartTrackingRefBased/>
  <w15:docId w15:val="{092E19FF-0DE3-4B83-BA45-008F40BB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7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7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F76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76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76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76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76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76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76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76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76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F76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76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76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76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76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76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76E8"/>
    <w:rPr>
      <w:rFonts w:eastAsiaTheme="majorEastAsia" w:cstheme="majorBidi"/>
      <w:color w:val="272727" w:themeColor="text1" w:themeTint="D8"/>
    </w:rPr>
  </w:style>
  <w:style w:type="paragraph" w:styleId="Titel">
    <w:name w:val="Title"/>
    <w:basedOn w:val="Standaard"/>
    <w:next w:val="Standaard"/>
    <w:link w:val="TitelChar"/>
    <w:uiPriority w:val="10"/>
    <w:qFormat/>
    <w:rsid w:val="003F7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76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76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76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76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76E8"/>
    <w:rPr>
      <w:i/>
      <w:iCs/>
      <w:color w:val="404040" w:themeColor="text1" w:themeTint="BF"/>
    </w:rPr>
  </w:style>
  <w:style w:type="paragraph" w:styleId="Lijstalinea">
    <w:name w:val="List Paragraph"/>
    <w:basedOn w:val="Standaard"/>
    <w:uiPriority w:val="34"/>
    <w:qFormat/>
    <w:rsid w:val="003F76E8"/>
    <w:pPr>
      <w:ind w:left="720"/>
      <w:contextualSpacing/>
    </w:pPr>
  </w:style>
  <w:style w:type="character" w:styleId="Intensievebenadrukking">
    <w:name w:val="Intense Emphasis"/>
    <w:basedOn w:val="Standaardalinea-lettertype"/>
    <w:uiPriority w:val="21"/>
    <w:qFormat/>
    <w:rsid w:val="003F76E8"/>
    <w:rPr>
      <w:i/>
      <w:iCs/>
      <w:color w:val="0F4761" w:themeColor="accent1" w:themeShade="BF"/>
    </w:rPr>
  </w:style>
  <w:style w:type="paragraph" w:styleId="Duidelijkcitaat">
    <w:name w:val="Intense Quote"/>
    <w:basedOn w:val="Standaard"/>
    <w:next w:val="Standaard"/>
    <w:link w:val="DuidelijkcitaatChar"/>
    <w:uiPriority w:val="30"/>
    <w:qFormat/>
    <w:rsid w:val="003F7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76E8"/>
    <w:rPr>
      <w:i/>
      <w:iCs/>
      <w:color w:val="0F4761" w:themeColor="accent1" w:themeShade="BF"/>
    </w:rPr>
  </w:style>
  <w:style w:type="character" w:styleId="Intensieveverwijzing">
    <w:name w:val="Intense Reference"/>
    <w:basedOn w:val="Standaardalinea-lettertype"/>
    <w:uiPriority w:val="32"/>
    <w:qFormat/>
    <w:rsid w:val="003F76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263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Words>
  <Characters>253</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2024-06-16T15:29:00Z</dcterms:created>
  <dcterms:modified xsi:type="dcterms:W3CDTF">2024-06-16T15:33:00Z</dcterms:modified>
</cp:coreProperties>
</file>